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BDB" w:rsidRPr="00391BDB" w:rsidRDefault="00391BDB" w:rsidP="00391BDB">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0"/>
          <w:szCs w:val="20"/>
          <w:lang w:val="en-US" w:eastAsia="fr-FR"/>
        </w:rPr>
      </w:pPr>
      <w:r w:rsidRPr="00391BDB">
        <w:rPr>
          <w:rFonts w:ascii="Times New Roman" w:eastAsia="Times New Roman" w:hAnsi="Times New Roman" w:cs="Times New Roman"/>
          <w:b/>
          <w:bCs/>
          <w:color w:val="990099"/>
          <w:szCs w:val="24"/>
          <w:lang w:val="en-US" w:eastAsia="fr-FR"/>
        </w:rPr>
        <w:t>Public Display</w:t>
      </w:r>
      <w:r w:rsidR="004C07B1">
        <w:rPr>
          <w:rFonts w:ascii="Times New Roman" w:eastAsia="Times New Roman" w:hAnsi="Times New Roman" w:cs="Times New Roman"/>
          <w:b/>
          <w:bCs/>
          <w:color w:val="990099"/>
          <w:szCs w:val="24"/>
          <w:lang w:val="en-US" w:eastAsia="fr-FR"/>
        </w:rPr>
        <w:t xml:space="preserve"> of Social Status</w:t>
      </w:r>
      <w:r w:rsidRPr="00391BDB">
        <w:rPr>
          <w:rFonts w:ascii="Times New Roman" w:eastAsia="Times New Roman" w:hAnsi="Times New Roman" w:cs="Times New Roman"/>
          <w:b/>
          <w:bCs/>
          <w:color w:val="990099"/>
          <w:szCs w:val="24"/>
          <w:lang w:val="en-US" w:eastAsia="fr-FR"/>
        </w:rPr>
        <w:t>: Patronage</w:t>
      </w:r>
      <w:r w:rsidR="004C07B1">
        <w:rPr>
          <w:rFonts w:ascii="Times New Roman" w:eastAsia="Times New Roman" w:hAnsi="Times New Roman" w:cs="Times New Roman"/>
          <w:b/>
          <w:bCs/>
          <w:color w:val="990099"/>
          <w:szCs w:val="24"/>
          <w:lang w:val="en-US" w:eastAsia="fr-FR"/>
        </w:rPr>
        <w:t xml:space="preserve"> </w:t>
      </w:r>
      <w:r w:rsidR="004C07B1" w:rsidRPr="004C07B1">
        <w:rPr>
          <w:rFonts w:ascii="Times New Roman" w:eastAsia="Times New Roman" w:hAnsi="Times New Roman" w:cs="Times New Roman"/>
          <w:b/>
          <w:bCs/>
          <w:color w:val="990099"/>
          <w:sz w:val="20"/>
          <w:szCs w:val="20"/>
          <w:lang w:val="en-US" w:eastAsia="fr-FR"/>
        </w:rPr>
        <w:t>(</w:t>
      </w:r>
      <w:hyperlink r:id="rId6" w:history="1">
        <w:r w:rsidR="004C07B1" w:rsidRPr="004C07B1">
          <w:rPr>
            <w:rStyle w:val="Hyperlink"/>
            <w:sz w:val="20"/>
            <w:szCs w:val="20"/>
            <w:lang w:val="en-US"/>
          </w:rPr>
          <w:t>http://www.vroma.org/~bmcmanus/socialclass.html</w:t>
        </w:r>
      </w:hyperlink>
      <w:r w:rsidR="004C07B1" w:rsidRPr="004C07B1">
        <w:rPr>
          <w:sz w:val="20"/>
          <w:szCs w:val="20"/>
          <w:lang w:val="en-US"/>
        </w:rPr>
        <w:t>)</w:t>
      </w:r>
    </w:p>
    <w:p w:rsidR="00391BDB" w:rsidRPr="00391BDB" w:rsidRDefault="00391BDB" w:rsidP="00391BDB">
      <w:pPr>
        <w:shd w:val="clear" w:color="auto" w:fill="FFFFFF"/>
        <w:spacing w:before="100" w:beforeAutospacing="1" w:after="100" w:afterAutospacing="1" w:line="240" w:lineRule="auto"/>
        <w:rPr>
          <w:rFonts w:ascii="Times New Roman" w:eastAsia="Times New Roman" w:hAnsi="Times New Roman" w:cs="Times New Roman"/>
          <w:color w:val="000000"/>
          <w:szCs w:val="24"/>
          <w:lang w:val="en-US" w:eastAsia="fr-FR"/>
        </w:rPr>
      </w:pPr>
      <w:r w:rsidRPr="00391BDB">
        <w:rPr>
          <w:rFonts w:ascii="Times New Roman" w:eastAsia="Times New Roman" w:hAnsi="Times New Roman" w:cs="Times New Roman"/>
          <w:color w:val="000000"/>
          <w:szCs w:val="24"/>
          <w:lang w:val="en-US" w:eastAsia="fr-FR"/>
        </w:rPr>
        <w:t>Public display of status was a very important feature of Roman society. It was not enough to belong to one of the upper classes—status and rank had to be </w:t>
      </w:r>
      <w:r w:rsidRPr="00391BDB">
        <w:rPr>
          <w:rFonts w:ascii="Times New Roman" w:eastAsia="Times New Roman" w:hAnsi="Times New Roman" w:cs="Times New Roman"/>
          <w:b/>
          <w:bCs/>
          <w:color w:val="000000"/>
          <w:szCs w:val="24"/>
          <w:lang w:val="en-US" w:eastAsia="fr-FR"/>
        </w:rPr>
        <w:t>seen</w:t>
      </w:r>
      <w:r w:rsidRPr="00391BDB">
        <w:rPr>
          <w:rFonts w:ascii="Times New Roman" w:eastAsia="Times New Roman" w:hAnsi="Times New Roman" w:cs="Times New Roman"/>
          <w:color w:val="000000"/>
          <w:szCs w:val="24"/>
          <w:lang w:val="en-US" w:eastAsia="fr-FR"/>
        </w:rPr>
        <w:t>, to be publicly recognized, in order to be meaningful. Hence the clothing of upper-class Roman males had distinctive features which made their rank immediately visible to all around.</w:t>
      </w:r>
    </w:p>
    <w:p w:rsidR="00391BDB" w:rsidRPr="00391BDB" w:rsidRDefault="00391BDB" w:rsidP="00391BDB">
      <w:pPr>
        <w:shd w:val="clear" w:color="auto" w:fill="FFFFFF"/>
        <w:spacing w:before="100" w:beforeAutospacing="1" w:after="100" w:afterAutospacing="1" w:line="240" w:lineRule="auto"/>
        <w:rPr>
          <w:rFonts w:ascii="Times New Roman" w:eastAsia="Times New Roman" w:hAnsi="Times New Roman" w:cs="Times New Roman"/>
          <w:color w:val="000000"/>
          <w:szCs w:val="24"/>
          <w:lang w:val="en-US" w:eastAsia="fr-FR"/>
        </w:rPr>
      </w:pPr>
      <w:r w:rsidRPr="00391BDB">
        <w:rPr>
          <w:rFonts w:ascii="Times New Roman" w:eastAsia="Times New Roman" w:hAnsi="Times New Roman" w:cs="Times New Roman"/>
          <w:color w:val="000000"/>
          <w:szCs w:val="24"/>
          <w:lang w:val="en-US" w:eastAsia="fr-FR"/>
        </w:rPr>
        <w:t>The patron-client relationship was also a major instrument for the public display of status. The Romans called mutual support between upper-class men of relative—though competitive—equality </w:t>
      </w:r>
      <w:r w:rsidRPr="00391BDB">
        <w:rPr>
          <w:rFonts w:ascii="Times New Roman" w:eastAsia="Times New Roman" w:hAnsi="Times New Roman" w:cs="Times New Roman"/>
          <w:i/>
          <w:iCs/>
          <w:color w:val="000000"/>
          <w:szCs w:val="24"/>
          <w:lang w:val="en-US" w:eastAsia="fr-FR"/>
        </w:rPr>
        <w:t>amicitia</w:t>
      </w:r>
      <w:r w:rsidRPr="00391BDB">
        <w:rPr>
          <w:rFonts w:ascii="Times New Roman" w:eastAsia="Times New Roman" w:hAnsi="Times New Roman" w:cs="Times New Roman"/>
          <w:color w:val="000000"/>
          <w:szCs w:val="24"/>
          <w:lang w:val="en-US" w:eastAsia="fr-FR"/>
        </w:rPr>
        <w:t>, “friendship.” However, nearly every aspect of Roman life was affected by the widespread system of patronage, based on</w:t>
      </w:r>
      <w:r w:rsidRPr="00391BDB">
        <w:rPr>
          <w:rFonts w:ascii="Times New Roman" w:eastAsia="Times New Roman" w:hAnsi="Times New Roman" w:cs="Times New Roman"/>
          <w:b/>
          <w:bCs/>
          <w:color w:val="000000"/>
          <w:szCs w:val="24"/>
          <w:lang w:val="en-US" w:eastAsia="fr-FR"/>
        </w:rPr>
        <w:t>publicly acknowledged inequality</w:t>
      </w:r>
      <w:r w:rsidRPr="00391BDB">
        <w:rPr>
          <w:rFonts w:ascii="Times New Roman" w:eastAsia="Times New Roman" w:hAnsi="Times New Roman" w:cs="Times New Roman"/>
          <w:color w:val="000000"/>
          <w:szCs w:val="24"/>
          <w:lang w:val="en-US" w:eastAsia="fr-FR"/>
        </w:rPr>
        <w:t> between patron (</w:t>
      </w:r>
      <w:r w:rsidRPr="00391BDB">
        <w:rPr>
          <w:rFonts w:ascii="Times New Roman" w:eastAsia="Times New Roman" w:hAnsi="Times New Roman" w:cs="Times New Roman"/>
          <w:i/>
          <w:iCs/>
          <w:color w:val="000000"/>
          <w:szCs w:val="24"/>
          <w:lang w:val="en-US" w:eastAsia="fr-FR"/>
        </w:rPr>
        <w:t>patronus</w:t>
      </w:r>
      <w:r w:rsidRPr="00391BDB">
        <w:rPr>
          <w:rFonts w:ascii="Times New Roman" w:eastAsia="Times New Roman" w:hAnsi="Times New Roman" w:cs="Times New Roman"/>
          <w:color w:val="000000"/>
          <w:szCs w:val="24"/>
          <w:lang w:val="en-US" w:eastAsia="fr-FR"/>
        </w:rPr>
        <w:t>) and client (</w:t>
      </w:r>
      <w:r w:rsidRPr="00391BDB">
        <w:rPr>
          <w:rFonts w:ascii="Times New Roman" w:eastAsia="Times New Roman" w:hAnsi="Times New Roman" w:cs="Times New Roman"/>
          <w:i/>
          <w:iCs/>
          <w:color w:val="000000"/>
          <w:szCs w:val="24"/>
          <w:lang w:val="en-US" w:eastAsia="fr-FR"/>
        </w:rPr>
        <w:t>cliens</w:t>
      </w:r>
      <w:r w:rsidRPr="00391BDB">
        <w:rPr>
          <w:rFonts w:ascii="Times New Roman" w:eastAsia="Times New Roman" w:hAnsi="Times New Roman" w:cs="Times New Roman"/>
          <w:color w:val="000000"/>
          <w:szCs w:val="24"/>
          <w:lang w:val="en-US" w:eastAsia="fr-FR"/>
        </w:rPr>
        <w:t>); the prevalence of patronage in Roman society was both a result and a cause of its hierarchical, status-conscious nature, as well as of the wide gulf between the upper and lower classes.</w:t>
      </w:r>
    </w:p>
    <w:p w:rsidR="00391BDB" w:rsidRPr="00391BDB" w:rsidRDefault="00391BDB" w:rsidP="004C07B1">
      <w:pPr>
        <w:shd w:val="clear" w:color="auto" w:fill="FFFFFF"/>
        <w:spacing w:before="100" w:beforeAutospacing="1" w:line="240" w:lineRule="auto"/>
        <w:rPr>
          <w:rFonts w:ascii="Times New Roman" w:eastAsia="Times New Roman" w:hAnsi="Times New Roman" w:cs="Times New Roman"/>
          <w:color w:val="000000"/>
          <w:szCs w:val="24"/>
          <w:lang w:val="en-US" w:eastAsia="fr-FR"/>
        </w:rPr>
      </w:pPr>
      <w:r w:rsidRPr="00391BDB">
        <w:rPr>
          <w:rFonts w:ascii="Times New Roman" w:eastAsia="Times New Roman" w:hAnsi="Times New Roman" w:cs="Times New Roman"/>
          <w:color w:val="000000"/>
          <w:szCs w:val="24"/>
          <w:lang w:val="en-US" w:eastAsia="fr-FR"/>
        </w:rPr>
        <w:t>There were two types of patronage:</w:t>
      </w:r>
    </w:p>
    <w:p w:rsidR="00391BDB" w:rsidRPr="00391BDB" w:rsidRDefault="00391BDB" w:rsidP="004C07B1">
      <w:pPr>
        <w:numPr>
          <w:ilvl w:val="0"/>
          <w:numId w:val="1"/>
        </w:numPr>
        <w:shd w:val="clear" w:color="auto" w:fill="FFFFFF"/>
        <w:spacing w:after="100" w:afterAutospacing="1" w:line="240" w:lineRule="auto"/>
        <w:rPr>
          <w:rFonts w:ascii="Times New Roman" w:eastAsia="Times New Roman" w:hAnsi="Times New Roman" w:cs="Times New Roman"/>
          <w:color w:val="000000"/>
          <w:szCs w:val="24"/>
          <w:lang w:val="en-US" w:eastAsia="fr-FR"/>
        </w:rPr>
      </w:pPr>
      <w:proofErr w:type="gramStart"/>
      <w:r w:rsidRPr="00391BDB">
        <w:rPr>
          <w:rFonts w:ascii="Times New Roman" w:eastAsia="Times New Roman" w:hAnsi="Times New Roman" w:cs="Times New Roman"/>
          <w:color w:val="000000"/>
          <w:szCs w:val="24"/>
          <w:lang w:val="en-US" w:eastAsia="fr-FR"/>
        </w:rPr>
        <w:t>public—</w:t>
      </w:r>
      <w:proofErr w:type="gramEnd"/>
      <w:r w:rsidRPr="00391BDB">
        <w:rPr>
          <w:rFonts w:ascii="Times New Roman" w:eastAsia="Times New Roman" w:hAnsi="Times New Roman" w:cs="Times New Roman"/>
          <w:color w:val="000000"/>
          <w:szCs w:val="24"/>
          <w:lang w:val="en-US" w:eastAsia="fr-FR"/>
        </w:rPr>
        <w:t>in which a patron became the protector and benefactor of a group (e.g., a craftsman's guild, a religious association, even an entire city); such patronage usually involved large gifts of money for public buildings, alimentary schemes, public entertainment, etc., but could also involve various forms of protection and advocacy.</w:t>
      </w:r>
    </w:p>
    <w:p w:rsidR="00391BDB" w:rsidRPr="00391BDB" w:rsidRDefault="00391BDB" w:rsidP="00391BDB">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Cs w:val="24"/>
          <w:lang w:val="en-US" w:eastAsia="fr-FR"/>
        </w:rPr>
      </w:pPr>
      <w:proofErr w:type="gramStart"/>
      <w:r w:rsidRPr="00391BDB">
        <w:rPr>
          <w:rFonts w:ascii="Times New Roman" w:eastAsia="Times New Roman" w:hAnsi="Times New Roman" w:cs="Times New Roman"/>
          <w:color w:val="000000"/>
          <w:szCs w:val="24"/>
          <w:lang w:val="en-US" w:eastAsia="fr-FR"/>
        </w:rPr>
        <w:t>personal—</w:t>
      </w:r>
      <w:proofErr w:type="gramEnd"/>
      <w:r w:rsidRPr="00391BDB">
        <w:rPr>
          <w:rFonts w:ascii="Times New Roman" w:eastAsia="Times New Roman" w:hAnsi="Times New Roman" w:cs="Times New Roman"/>
          <w:color w:val="000000"/>
          <w:szCs w:val="24"/>
          <w:lang w:val="en-US" w:eastAsia="fr-FR"/>
        </w:rPr>
        <w:t>in which a patron aided an individual of lower status through money, gifts, dinner invitations, help with lawsuits or business affairs, and other forms of advice and protection. Patronage relationships might be maintained through several generations of the same families.</w:t>
      </w:r>
    </w:p>
    <w:p w:rsidR="00391BDB" w:rsidRPr="00391BDB" w:rsidRDefault="00391BDB" w:rsidP="00391BDB">
      <w:pPr>
        <w:shd w:val="clear" w:color="auto" w:fill="FFFFFF"/>
        <w:spacing w:before="100" w:beforeAutospacing="1" w:after="100" w:afterAutospacing="1" w:line="240" w:lineRule="auto"/>
        <w:rPr>
          <w:rFonts w:ascii="Times New Roman" w:eastAsia="Times New Roman" w:hAnsi="Times New Roman" w:cs="Times New Roman"/>
          <w:color w:val="000000"/>
          <w:szCs w:val="24"/>
          <w:lang w:val="en-US" w:eastAsia="fr-FR"/>
        </w:rPr>
      </w:pPr>
      <w:r w:rsidRPr="00391BDB">
        <w:rPr>
          <w:rFonts w:ascii="Times New Roman" w:eastAsia="Times New Roman" w:hAnsi="Times New Roman" w:cs="Times New Roman"/>
          <w:color w:val="000000"/>
          <w:szCs w:val="24"/>
          <w:lang w:val="en-US" w:eastAsia="fr-FR"/>
        </w:rPr>
        <w:t>Personal patronage extended to a man's or woman's freedpeople as well as to freeborn individuals of a lower status, but the former involved legally binding duties and services that the freedperson owed his or her patron in exchange for manumission. Public patrons expected to receive public acknowledgment from their client groups in the form of statues and inscriptions; personal patrons expected various forms of public displays of deference such as the morning greeting (see below), accompanying the patron to the Forum, etc. During the Republic, both types of patrons demanded political support from their clients; this type of support became much less significant in the Empire, though social support and deference remained very important. The patronage system made possible the rich legacy of Roman literature, since wealthy patrons provided authors with a livelihood and expected in return commemoration in the literature or at least enhanced status as intellectuals. For example, Maecenas, a wealthy and influential equestrian associated with the court of Augustus, was the patron of the poets Horace and Vergil.</w:t>
      </w:r>
    </w:p>
    <w:p w:rsidR="004C07B1" w:rsidRPr="00391BDB" w:rsidRDefault="00391BDB" w:rsidP="00391BDB">
      <w:pPr>
        <w:shd w:val="clear" w:color="auto" w:fill="FFFFFF"/>
        <w:spacing w:before="100" w:beforeAutospacing="1" w:after="100" w:afterAutospacing="1" w:line="240" w:lineRule="auto"/>
        <w:rPr>
          <w:rFonts w:ascii="Times New Roman" w:eastAsia="Times New Roman" w:hAnsi="Times New Roman" w:cs="Times New Roman"/>
          <w:color w:val="000000"/>
          <w:szCs w:val="24"/>
          <w:lang w:val="en-US" w:eastAsia="fr-FR"/>
        </w:rPr>
      </w:pPr>
      <w:r w:rsidRPr="00391BDB">
        <w:rPr>
          <w:rFonts w:ascii="Times New Roman" w:eastAsia="Times New Roman" w:hAnsi="Times New Roman" w:cs="Times New Roman"/>
          <w:color w:val="000000"/>
          <w:szCs w:val="24"/>
          <w:lang w:val="en-US" w:eastAsia="fr-FR"/>
        </w:rPr>
        <w:t>An important daily public ritual associated with patronage was the </w:t>
      </w:r>
      <w:r w:rsidRPr="00391BDB">
        <w:rPr>
          <w:rFonts w:ascii="Times New Roman" w:eastAsia="Times New Roman" w:hAnsi="Times New Roman" w:cs="Times New Roman"/>
          <w:i/>
          <w:iCs/>
          <w:color w:val="000000"/>
          <w:szCs w:val="24"/>
          <w:lang w:val="en-US" w:eastAsia="fr-FR"/>
        </w:rPr>
        <w:t>salutatio</w:t>
      </w:r>
      <w:r w:rsidRPr="00391BDB">
        <w:rPr>
          <w:rFonts w:ascii="Times New Roman" w:eastAsia="Times New Roman" w:hAnsi="Times New Roman" w:cs="Times New Roman"/>
          <w:color w:val="000000"/>
          <w:szCs w:val="24"/>
          <w:lang w:val="en-US" w:eastAsia="fr-FR"/>
        </w:rPr>
        <w:t>, or morning greeting, when clients flocked to the homes of their wealthy patrons. This was a formal occasion, requiring both patron and client to wear togas; thus the difference in their clothing would be another visual reminder of their difference in status. Clients clustered in the atrium, the vestibule, and even the streets outside the patron's house, waiting to be summoned individually to greet the patron in his tablinum; after the greeting they might be required to accompany the patron to the Forum or lawcourts if he needed a public entourage. Certainly there could be a paternalistic benevolence on the part of the patron and loyalty on the part of the client, but nevertheless public display was at the heart of the system. Patronage was the grease that kept the wheels of the Roman economy, society, and politics turning</w:t>
      </w:r>
      <w:r w:rsidR="004C07B1">
        <w:rPr>
          <w:rFonts w:ascii="Times New Roman" w:eastAsia="Times New Roman" w:hAnsi="Times New Roman" w:cs="Times New Roman"/>
          <w:color w:val="000000"/>
          <w:szCs w:val="24"/>
          <w:lang w:val="en-US" w:eastAsia="fr-FR"/>
        </w:rPr>
        <w:t>.</w:t>
      </w:r>
    </w:p>
    <w:p w:rsidR="00391BDB" w:rsidRPr="00391BDB" w:rsidRDefault="00391BDB">
      <w:pPr>
        <w:rPr>
          <w:b/>
        </w:rPr>
      </w:pPr>
      <w:r>
        <w:rPr>
          <w:b/>
        </w:rPr>
        <w:lastRenderedPageBreak/>
        <w:t>Patrōnus et Cliēntēs</w:t>
      </w:r>
    </w:p>
    <w:p w:rsidR="00391BDB" w:rsidRDefault="00391BDB" w:rsidP="000232F6">
      <w:pPr>
        <w:pStyle w:val="ListParagraph"/>
        <w:numPr>
          <w:ilvl w:val="0"/>
          <w:numId w:val="2"/>
        </w:numPr>
        <w:spacing w:line="480" w:lineRule="auto"/>
      </w:pPr>
      <w:r>
        <w:t xml:space="preserve">patrōnus est vir </w:t>
      </w:r>
      <w:r w:rsidR="004C07B1">
        <w:t>(clārus / pulcher)</w:t>
      </w:r>
      <w:r>
        <w:t xml:space="preserve">.   </w:t>
      </w:r>
    </w:p>
    <w:p w:rsidR="002D35EA" w:rsidRPr="000232F6" w:rsidRDefault="00391BDB" w:rsidP="000232F6">
      <w:pPr>
        <w:pStyle w:val="ListParagraph"/>
        <w:numPr>
          <w:ilvl w:val="0"/>
          <w:numId w:val="2"/>
        </w:numPr>
        <w:spacing w:line="480" w:lineRule="auto"/>
        <w:rPr>
          <w:lang w:val="en-US"/>
        </w:rPr>
      </w:pPr>
      <w:proofErr w:type="gramStart"/>
      <w:r w:rsidRPr="000232F6">
        <w:rPr>
          <w:lang w:val="en-US"/>
        </w:rPr>
        <w:t>cliēntēs</w:t>
      </w:r>
      <w:proofErr w:type="gramEnd"/>
      <w:r w:rsidRPr="000232F6">
        <w:rPr>
          <w:lang w:val="en-US"/>
        </w:rPr>
        <w:t xml:space="preserve"> in </w:t>
      </w:r>
      <w:r w:rsidR="004C07B1" w:rsidRPr="000232F6">
        <w:rPr>
          <w:lang w:val="en-US"/>
        </w:rPr>
        <w:t>(peristyliō / atriō)</w:t>
      </w:r>
      <w:r w:rsidRPr="000232F6">
        <w:rPr>
          <w:lang w:val="en-US"/>
        </w:rPr>
        <w:t xml:space="preserve"> patrōnum exspectant.</w:t>
      </w:r>
    </w:p>
    <w:p w:rsidR="00391BDB" w:rsidRDefault="004C07B1" w:rsidP="000232F6">
      <w:pPr>
        <w:pStyle w:val="ListParagraph"/>
        <w:numPr>
          <w:ilvl w:val="0"/>
          <w:numId w:val="2"/>
        </w:numPr>
        <w:spacing w:line="480" w:lineRule="auto"/>
      </w:pPr>
      <w:r>
        <w:t xml:space="preserve">patrōnus </w:t>
      </w:r>
      <w:r>
        <w:t xml:space="preserve">multa </w:t>
      </w:r>
      <w:r>
        <w:t xml:space="preserve">(officia / oppida) </w:t>
      </w:r>
      <w:r w:rsidR="00391BDB">
        <w:t xml:space="preserve">habet et in </w:t>
      </w:r>
      <w:r>
        <w:t>(</w:t>
      </w:r>
      <w:r w:rsidR="00391BDB" w:rsidRPr="004C07B1">
        <w:t>tablīnō</w:t>
      </w:r>
      <w:r>
        <w:t xml:space="preserve"> / atriō)</w:t>
      </w:r>
      <w:r w:rsidR="00391BDB">
        <w:t xml:space="preserve"> labōrat.</w:t>
      </w:r>
    </w:p>
    <w:p w:rsidR="00391BDB" w:rsidRDefault="00391BDB" w:rsidP="000232F6">
      <w:pPr>
        <w:pStyle w:val="ListParagraph"/>
        <w:numPr>
          <w:ilvl w:val="0"/>
          <w:numId w:val="2"/>
        </w:numPr>
        <w:spacing w:line="480" w:lineRule="auto"/>
      </w:pPr>
      <w:r>
        <w:t xml:space="preserve">prō </w:t>
      </w:r>
      <w:r w:rsidRPr="004C07B1">
        <w:t>aliīs</w:t>
      </w:r>
      <w:r>
        <w:t xml:space="preserve"> </w:t>
      </w:r>
      <w:r w:rsidR="004C07B1">
        <w:t>(</w:t>
      </w:r>
      <w:r>
        <w:t>vītam</w:t>
      </w:r>
      <w:r w:rsidR="004C07B1">
        <w:t xml:space="preserve"> / bellum)</w:t>
      </w:r>
      <w:r>
        <w:t xml:space="preserve"> </w:t>
      </w:r>
      <w:r>
        <w:t>agit.  (aliī = others)</w:t>
      </w:r>
    </w:p>
    <w:p w:rsidR="00391BDB" w:rsidRPr="000232F6" w:rsidRDefault="00391BDB" w:rsidP="000232F6">
      <w:pPr>
        <w:pStyle w:val="ListParagraph"/>
        <w:numPr>
          <w:ilvl w:val="0"/>
          <w:numId w:val="2"/>
        </w:numPr>
        <w:spacing w:line="480" w:lineRule="auto"/>
        <w:rPr>
          <w:lang w:val="en-US"/>
        </w:rPr>
      </w:pPr>
      <w:proofErr w:type="gramStart"/>
      <w:r w:rsidRPr="000232F6">
        <w:rPr>
          <w:lang w:val="en-US"/>
        </w:rPr>
        <w:t>saepe</w:t>
      </w:r>
      <w:proofErr w:type="gramEnd"/>
      <w:r w:rsidRPr="000232F6">
        <w:rPr>
          <w:lang w:val="en-US"/>
        </w:rPr>
        <w:t xml:space="preserve"> </w:t>
      </w:r>
      <w:r w:rsidR="004C07B1" w:rsidRPr="000232F6">
        <w:rPr>
          <w:lang w:val="en-US"/>
        </w:rPr>
        <w:t>(auxilium / officium)</w:t>
      </w:r>
      <w:r w:rsidRPr="000232F6">
        <w:rPr>
          <w:lang w:val="en-US"/>
        </w:rPr>
        <w:t xml:space="preserve"> ad familiās mīsit</w:t>
      </w:r>
      <w:r w:rsidR="004C07B1" w:rsidRPr="000232F6">
        <w:rPr>
          <w:lang w:val="en-US"/>
        </w:rPr>
        <w:t>.</w:t>
      </w:r>
    </w:p>
    <w:p w:rsidR="004C07B1" w:rsidRPr="004C07B1" w:rsidRDefault="004C07B1" w:rsidP="000232F6">
      <w:pPr>
        <w:pStyle w:val="ListParagraph"/>
        <w:numPr>
          <w:ilvl w:val="0"/>
          <w:numId w:val="2"/>
        </w:numPr>
        <w:spacing w:line="480" w:lineRule="auto"/>
      </w:pPr>
      <w:r w:rsidRPr="004C07B1">
        <w:t>necesse</w:t>
      </w:r>
      <w:r w:rsidR="00391BDB" w:rsidRPr="004C07B1">
        <w:t xml:space="preserve"> est </w:t>
      </w:r>
      <w:r w:rsidRPr="004C07B1">
        <w:t>patrōnum (pugnāre / laudāre)</w:t>
      </w:r>
    </w:p>
    <w:p w:rsidR="00391BDB" w:rsidRPr="004C07B1" w:rsidRDefault="004C07B1" w:rsidP="000232F6">
      <w:pPr>
        <w:pStyle w:val="ListParagraph"/>
        <w:numPr>
          <w:ilvl w:val="0"/>
          <w:numId w:val="2"/>
        </w:numPr>
        <w:spacing w:line="480" w:lineRule="auto"/>
      </w:pPr>
      <w:r w:rsidRPr="004C07B1">
        <w:t>cliēntēs (fāmam / pecūniam</w:t>
      </w:r>
      <w:r>
        <w:t>)</w:t>
      </w:r>
      <w:r w:rsidRPr="004C07B1">
        <w:t xml:space="preserve"> patrōnī augent.</w:t>
      </w:r>
    </w:p>
    <w:p w:rsidR="00391BDB" w:rsidRDefault="00391BDB" w:rsidP="000232F6">
      <w:pPr>
        <w:pStyle w:val="ListParagraph"/>
        <w:numPr>
          <w:ilvl w:val="0"/>
          <w:numId w:val="2"/>
        </w:numPr>
        <w:spacing w:line="480" w:lineRule="auto"/>
      </w:pPr>
      <w:r>
        <w:t xml:space="preserve">patrōnus </w:t>
      </w:r>
      <w:r w:rsidR="004C07B1">
        <w:t>(</w:t>
      </w:r>
      <w:r>
        <w:t>accēdit</w:t>
      </w:r>
      <w:r w:rsidR="004C07B1">
        <w:t xml:space="preserve"> / discēdit)</w:t>
      </w:r>
      <w:r>
        <w:t xml:space="preserve"> et virōs in ātriō </w:t>
      </w:r>
      <w:r w:rsidR="004C07B1">
        <w:t>(videt / pōnit)</w:t>
      </w:r>
    </w:p>
    <w:p w:rsidR="00391BDB" w:rsidRPr="000232F6" w:rsidRDefault="00391BDB" w:rsidP="000232F6">
      <w:pPr>
        <w:pStyle w:val="ListParagraph"/>
        <w:numPr>
          <w:ilvl w:val="0"/>
          <w:numId w:val="2"/>
        </w:numPr>
        <w:spacing w:line="480" w:lineRule="auto"/>
        <w:rPr>
          <w:lang w:val="en-US"/>
        </w:rPr>
      </w:pPr>
      <w:proofErr w:type="gramStart"/>
      <w:r w:rsidRPr="000232F6">
        <w:rPr>
          <w:lang w:val="en-US"/>
        </w:rPr>
        <w:t>cibum</w:t>
      </w:r>
      <w:proofErr w:type="gramEnd"/>
      <w:r w:rsidRPr="000232F6">
        <w:rPr>
          <w:lang w:val="en-US"/>
        </w:rPr>
        <w:t xml:space="preserve"> pectūniamque ad cliēntēs </w:t>
      </w:r>
      <w:r w:rsidR="000232F6" w:rsidRPr="000232F6">
        <w:rPr>
          <w:lang w:val="en-US"/>
        </w:rPr>
        <w:t>(agit / mittit).</w:t>
      </w:r>
    </w:p>
    <w:p w:rsidR="00391BDB" w:rsidRPr="000232F6" w:rsidRDefault="00391BDB" w:rsidP="000232F6">
      <w:pPr>
        <w:pStyle w:val="ListParagraph"/>
        <w:numPr>
          <w:ilvl w:val="0"/>
          <w:numId w:val="2"/>
        </w:numPr>
        <w:spacing w:line="480" w:lineRule="auto"/>
        <w:rPr>
          <w:lang w:val="en-US"/>
        </w:rPr>
      </w:pPr>
      <w:proofErr w:type="gramStart"/>
      <w:r w:rsidRPr="000232F6">
        <w:rPr>
          <w:lang w:val="en-US"/>
        </w:rPr>
        <w:t>cliēntēs</w:t>
      </w:r>
      <w:proofErr w:type="gramEnd"/>
      <w:r w:rsidRPr="000232F6">
        <w:rPr>
          <w:lang w:val="en-US"/>
        </w:rPr>
        <w:t xml:space="preserve"> patrōnum spectant dum </w:t>
      </w:r>
      <w:r w:rsidR="000232F6" w:rsidRPr="000232F6">
        <w:rPr>
          <w:lang w:val="en-US"/>
        </w:rPr>
        <w:t>(</w:t>
      </w:r>
      <w:r w:rsidRPr="000232F6">
        <w:rPr>
          <w:lang w:val="en-US"/>
        </w:rPr>
        <w:t>causās</w:t>
      </w:r>
      <w:r w:rsidR="000232F6" w:rsidRPr="000232F6">
        <w:rPr>
          <w:lang w:val="en-US"/>
        </w:rPr>
        <w:t xml:space="preserve"> / populum)</w:t>
      </w:r>
      <w:r w:rsidRPr="000232F6">
        <w:rPr>
          <w:lang w:val="en-US"/>
        </w:rPr>
        <w:t xml:space="preserve"> in forō agit.</w:t>
      </w:r>
    </w:p>
    <w:p w:rsidR="00391BDB" w:rsidRPr="000232F6" w:rsidRDefault="000232F6" w:rsidP="000232F6">
      <w:pPr>
        <w:pStyle w:val="ListParagraph"/>
        <w:numPr>
          <w:ilvl w:val="0"/>
          <w:numId w:val="2"/>
        </w:numPr>
        <w:spacing w:line="480" w:lineRule="auto"/>
        <w:rPr>
          <w:lang w:val="en-US"/>
        </w:rPr>
      </w:pPr>
      <w:proofErr w:type="gramStart"/>
      <w:r w:rsidRPr="000232F6">
        <w:rPr>
          <w:lang w:val="en-US"/>
        </w:rPr>
        <w:t>p</w:t>
      </w:r>
      <w:r w:rsidR="00391BDB" w:rsidRPr="000232F6">
        <w:rPr>
          <w:lang w:val="en-US"/>
        </w:rPr>
        <w:t>atrōnus</w:t>
      </w:r>
      <w:proofErr w:type="gramEnd"/>
      <w:r w:rsidR="00391BDB" w:rsidRPr="000232F6">
        <w:rPr>
          <w:lang w:val="en-US"/>
        </w:rPr>
        <w:t xml:space="preserve"> cliēntēs </w:t>
      </w:r>
      <w:r w:rsidRPr="000232F6">
        <w:rPr>
          <w:lang w:val="en-US"/>
        </w:rPr>
        <w:t>(</w:t>
      </w:r>
      <w:r w:rsidR="00391BDB" w:rsidRPr="000232F6">
        <w:rPr>
          <w:lang w:val="en-US"/>
        </w:rPr>
        <w:t>dēfendit</w:t>
      </w:r>
      <w:r w:rsidRPr="000232F6">
        <w:rPr>
          <w:lang w:val="en-US"/>
        </w:rPr>
        <w:t xml:space="preserve"> / āmittit)</w:t>
      </w:r>
      <w:r w:rsidR="00391BDB" w:rsidRPr="000232F6">
        <w:rPr>
          <w:lang w:val="en-US"/>
        </w:rPr>
        <w:t xml:space="preserve"> atque ad </w:t>
      </w:r>
      <w:r w:rsidRPr="000232F6">
        <w:rPr>
          <w:lang w:val="en-US"/>
        </w:rPr>
        <w:t xml:space="preserve">(templum / </w:t>
      </w:r>
      <w:r w:rsidR="00391BDB" w:rsidRPr="000232F6">
        <w:rPr>
          <w:lang w:val="en-US"/>
        </w:rPr>
        <w:t>cēnam</w:t>
      </w:r>
      <w:r w:rsidRPr="000232F6">
        <w:rPr>
          <w:lang w:val="en-US"/>
        </w:rPr>
        <w:t>)</w:t>
      </w:r>
      <w:r w:rsidR="00391BDB" w:rsidRPr="000232F6">
        <w:rPr>
          <w:lang w:val="en-US"/>
        </w:rPr>
        <w:t xml:space="preserve"> cliēntēs vocat.</w:t>
      </w:r>
    </w:p>
    <w:p w:rsidR="00391BDB" w:rsidRPr="009F29A2" w:rsidRDefault="009F29A2">
      <w:pPr>
        <w:rPr>
          <w:b/>
          <w:lang w:val="en-US"/>
        </w:rPr>
      </w:pPr>
      <w:r>
        <w:rPr>
          <w:b/>
          <w:lang w:val="en-US"/>
        </w:rPr>
        <w:t>Change present to perfect &amp; translate</w:t>
      </w:r>
    </w:p>
    <w:p w:rsidR="009F29A2" w:rsidRDefault="009F29A2">
      <w:pPr>
        <w:rPr>
          <w:lang w:val="en-US"/>
        </w:rPr>
      </w:pPr>
      <w:proofErr w:type="gramStart"/>
      <w:r>
        <w:rPr>
          <w:lang w:val="en-US"/>
        </w:rPr>
        <w:t>āmittō</w:t>
      </w:r>
      <w:proofErr w:type="gramEnd"/>
    </w:p>
    <w:p w:rsidR="009F29A2" w:rsidRDefault="009F29A2">
      <w:pPr>
        <w:rPr>
          <w:lang w:val="en-US"/>
        </w:rPr>
      </w:pPr>
      <w:proofErr w:type="gramStart"/>
      <w:r>
        <w:rPr>
          <w:lang w:val="en-US"/>
        </w:rPr>
        <w:t>discēdunt</w:t>
      </w:r>
      <w:proofErr w:type="gramEnd"/>
    </w:p>
    <w:p w:rsidR="009F29A2" w:rsidRDefault="009F29A2">
      <w:pPr>
        <w:rPr>
          <w:lang w:val="en-US"/>
        </w:rPr>
      </w:pPr>
      <w:proofErr w:type="gramStart"/>
      <w:r>
        <w:rPr>
          <w:lang w:val="en-US"/>
        </w:rPr>
        <w:t>agimus</w:t>
      </w:r>
      <w:proofErr w:type="gramEnd"/>
    </w:p>
    <w:p w:rsidR="009F29A2" w:rsidRDefault="009F29A2">
      <w:pPr>
        <w:rPr>
          <w:lang w:val="en-US"/>
        </w:rPr>
      </w:pPr>
      <w:proofErr w:type="gramStart"/>
      <w:r>
        <w:rPr>
          <w:lang w:val="en-US"/>
        </w:rPr>
        <w:t>committis</w:t>
      </w:r>
      <w:proofErr w:type="gramEnd"/>
    </w:p>
    <w:p w:rsidR="009F29A2" w:rsidRDefault="009F29A2">
      <w:pPr>
        <w:rPr>
          <w:lang w:val="en-US"/>
        </w:rPr>
      </w:pPr>
      <w:proofErr w:type="gramStart"/>
      <w:r>
        <w:rPr>
          <w:lang w:val="en-US"/>
        </w:rPr>
        <w:t>prōcēditis</w:t>
      </w:r>
      <w:proofErr w:type="gramEnd"/>
    </w:p>
    <w:p w:rsidR="009F29A2" w:rsidRDefault="009F29A2">
      <w:pPr>
        <w:rPr>
          <w:lang w:val="en-US"/>
        </w:rPr>
      </w:pPr>
      <w:proofErr w:type="gramStart"/>
      <w:r>
        <w:rPr>
          <w:lang w:val="en-US"/>
        </w:rPr>
        <w:t>pōnit</w:t>
      </w:r>
      <w:proofErr w:type="gramEnd"/>
    </w:p>
    <w:p w:rsidR="009F29A2" w:rsidRDefault="009F29A2">
      <w:pPr>
        <w:rPr>
          <w:lang w:val="en-US"/>
        </w:rPr>
      </w:pPr>
      <w:proofErr w:type="gramStart"/>
      <w:r>
        <w:rPr>
          <w:lang w:val="en-US"/>
        </w:rPr>
        <w:t>impōnunt</w:t>
      </w:r>
      <w:proofErr w:type="gramEnd"/>
    </w:p>
    <w:p w:rsidR="009F29A2" w:rsidRDefault="009F29A2">
      <w:pPr>
        <w:rPr>
          <w:lang w:val="en-US"/>
        </w:rPr>
      </w:pPr>
      <w:proofErr w:type="gramStart"/>
      <w:r>
        <w:rPr>
          <w:lang w:val="en-US"/>
        </w:rPr>
        <w:t>agō</w:t>
      </w:r>
      <w:proofErr w:type="gramEnd"/>
    </w:p>
    <w:p w:rsidR="009F29A2" w:rsidRDefault="009F29A2">
      <w:pPr>
        <w:rPr>
          <w:b/>
          <w:lang w:val="en-US"/>
        </w:rPr>
      </w:pPr>
      <w:r>
        <w:rPr>
          <w:b/>
          <w:lang w:val="en-US"/>
        </w:rPr>
        <w:t xml:space="preserve">Put in order:  </w:t>
      </w:r>
    </w:p>
    <w:p w:rsidR="009F29A2" w:rsidRPr="009F29A2" w:rsidRDefault="009F29A2">
      <w:r w:rsidRPr="009F29A2">
        <w:t xml:space="preserve"> (Ancus Marcius / Tullus Hostilius / </w:t>
      </w:r>
      <w:r w:rsidRPr="009F29A2">
        <w:t>Tarquinius Superbus</w:t>
      </w:r>
      <w:r w:rsidRPr="009F29A2">
        <w:t xml:space="preserve"> </w:t>
      </w:r>
      <w:r>
        <w:t xml:space="preserve">/ </w:t>
      </w:r>
      <w:r w:rsidRPr="009F29A2">
        <w:t>Servius Tullius / Numa Pompilius</w:t>
      </w:r>
      <w:r>
        <w:t xml:space="preserve"> / Tarquinius Priscus / Romulus</w:t>
      </w:r>
      <w:r w:rsidRPr="009F29A2">
        <w:t>)</w:t>
      </w:r>
      <w:bookmarkStart w:id="0" w:name="_GoBack"/>
      <w:bookmarkEnd w:id="0"/>
    </w:p>
    <w:p w:rsidR="009F29A2" w:rsidRPr="009F29A2" w:rsidRDefault="009F29A2"/>
    <w:p w:rsidR="00391BDB" w:rsidRPr="009F29A2" w:rsidRDefault="00391BDB"/>
    <w:sectPr w:rsidR="00391BDB" w:rsidRPr="009F29A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21E16"/>
    <w:multiLevelType w:val="multilevel"/>
    <w:tmpl w:val="D612F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FE6BBF"/>
    <w:multiLevelType w:val="hybridMultilevel"/>
    <w:tmpl w:val="BECC36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BDB"/>
    <w:rsid w:val="000232F6"/>
    <w:rsid w:val="00391BDB"/>
    <w:rsid w:val="004C07B1"/>
    <w:rsid w:val="005527E0"/>
    <w:rsid w:val="005773AE"/>
    <w:rsid w:val="00581A7A"/>
    <w:rsid w:val="006D394F"/>
    <w:rsid w:val="00906B72"/>
    <w:rsid w:val="009F29A2"/>
    <w:rsid w:val="00C43E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91BDB"/>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91BDB"/>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391BDB"/>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apple-converted-space">
    <w:name w:val="apple-converted-space"/>
    <w:basedOn w:val="DefaultParagraphFont"/>
    <w:rsid w:val="00391BDB"/>
  </w:style>
  <w:style w:type="character" w:styleId="Hyperlink">
    <w:name w:val="Hyperlink"/>
    <w:basedOn w:val="DefaultParagraphFont"/>
    <w:uiPriority w:val="99"/>
    <w:semiHidden/>
    <w:unhideWhenUsed/>
    <w:rsid w:val="00391BDB"/>
    <w:rPr>
      <w:color w:val="0000FF"/>
      <w:u w:val="single"/>
    </w:rPr>
  </w:style>
  <w:style w:type="paragraph" w:styleId="ListParagraph">
    <w:name w:val="List Paragraph"/>
    <w:basedOn w:val="Normal"/>
    <w:uiPriority w:val="34"/>
    <w:qFormat/>
    <w:rsid w:val="000232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91BDB"/>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91BDB"/>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391BDB"/>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apple-converted-space">
    <w:name w:val="apple-converted-space"/>
    <w:basedOn w:val="DefaultParagraphFont"/>
    <w:rsid w:val="00391BDB"/>
  </w:style>
  <w:style w:type="character" w:styleId="Hyperlink">
    <w:name w:val="Hyperlink"/>
    <w:basedOn w:val="DefaultParagraphFont"/>
    <w:uiPriority w:val="99"/>
    <w:semiHidden/>
    <w:unhideWhenUsed/>
    <w:rsid w:val="00391BDB"/>
    <w:rPr>
      <w:color w:val="0000FF"/>
      <w:u w:val="single"/>
    </w:rPr>
  </w:style>
  <w:style w:type="paragraph" w:styleId="ListParagraph">
    <w:name w:val="List Paragraph"/>
    <w:basedOn w:val="Normal"/>
    <w:uiPriority w:val="34"/>
    <w:qFormat/>
    <w:rsid w:val="000232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99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roma.org/~bmcmanus/socialclass.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713</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amity</dc:creator>
  <cp:lastModifiedBy>amity</cp:lastModifiedBy>
  <cp:revision>3</cp:revision>
  <dcterms:created xsi:type="dcterms:W3CDTF">2012-01-11T13:38:00Z</dcterms:created>
  <dcterms:modified xsi:type="dcterms:W3CDTF">2012-01-11T14:07:00Z</dcterms:modified>
</cp:coreProperties>
</file>